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1AF4CF2C">
                <wp:simplePos x="0" y="0"/>
                <wp:positionH relativeFrom="margin">
                  <wp:posOffset>-453390</wp:posOffset>
                </wp:positionH>
                <wp:positionV relativeFrom="paragraph">
                  <wp:posOffset>4399915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47122349" w:rsidR="00B91504" w:rsidRPr="00BF338C" w:rsidRDefault="002C094E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C094E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Fondazione Enea Tech e </w:t>
                            </w:r>
                            <w:proofErr w:type="spellStart"/>
                            <w:r w:rsidRPr="002C094E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Biomedical</w:t>
                            </w:r>
                            <w:proofErr w:type="spellEnd"/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BB1269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PROMOZIONE PER P</w:t>
                            </w:r>
                            <w:r w:rsidRPr="002C094E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ROGETTI DI RICERCA INDUSTRIALE E/O SVILUPPO SPERIMENTALE NEL SETTORE BIOMEDICO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5.7pt;margin-top:346.45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" filled="f" stroked="f">
                <v:textbox style="mso-fit-shape-to-text:t">
                  <w:txbxContent>
                    <w:p w14:paraId="6A7B159E" w14:textId="47122349" w:rsidR="00B91504" w:rsidRPr="00BF338C" w:rsidRDefault="002C094E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 w:rsidRPr="002C094E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Fondazione Enea Tech e </w:t>
                      </w:r>
                      <w:proofErr w:type="spellStart"/>
                      <w:r w:rsidRPr="002C094E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Biomedical</w:t>
                      </w:r>
                      <w:proofErr w:type="spellEnd"/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BB1269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PROMOZIONE PER P</w:t>
                      </w:r>
                      <w:r w:rsidRPr="002C094E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ROGETTI DI RICERCA INDUSTRIALE E/O SVILUPPO SPERIMENTALE NEL SETTORE BIOMEDICO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2E9F45E9" w:rsidR="00E84C6A" w:rsidRPr="00D05D8A" w:rsidRDefault="002C094E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L’agevolazione ha lo scopo di promuovere progetti di ricerca industriale e/o sviluppo sperimentale nel settore delle scienze della vita.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096EBB94" w:rsidR="00E84C6A" w:rsidRPr="0020776D" w:rsidRDefault="002C094E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2C094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Fondazione Enea Tech e </w:t>
            </w:r>
            <w:proofErr w:type="spellStart"/>
            <w:r w:rsidRPr="002C094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Biomedical</w:t>
            </w:r>
            <w:proofErr w:type="spellEnd"/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2D73BE51" w:rsidR="00E84C6A" w:rsidRPr="005314A6" w:rsidRDefault="006B1ACE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candidature potranno essere presentate entro il </w:t>
            </w:r>
            <w:r w:rsidRPr="00C73563">
              <w:rPr>
                <w:rFonts w:ascii="Century Gothic" w:hAnsi="Century Gothic" w:cstheme="minorHAnsi"/>
                <w:b/>
                <w:bCs/>
                <w:color w:val="00B0F0"/>
                <w:sz w:val="20"/>
                <w:szCs w:val="20"/>
              </w:rPr>
              <w:t>29 novembre 2024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1BAF9A01" w:rsidR="00E84C6A" w:rsidRPr="00587C62" w:rsidRDefault="006B1ACE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B1ACE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40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milioni di euro</w:t>
            </w:r>
          </w:p>
        </w:tc>
      </w:tr>
      <w:tr w:rsidR="00E84C6A" w:rsidRPr="00D8054D" w14:paraId="5967BFAC" w14:textId="77777777" w:rsidTr="00D55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16698F7" w14:textId="77777777" w:rsidR="00B1060A" w:rsidRDefault="006B1ACE" w:rsidP="006B1A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beneficiari ammissibili sono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soggetti operanti nell’ambito della produzione e/o commercializzazione di prodotti farmaceutici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che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svolgano attività di ricerca industriale e/o sviluppo sperimentale da almeno 12 mesi precedenti la presentazione della domanda di ammissione al contributo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A0F21EE" w14:textId="77777777" w:rsidR="006B1ACE" w:rsidRDefault="006B1ACE" w:rsidP="006B1A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Tali soggetti devono:</w:t>
            </w:r>
          </w:p>
          <w:p w14:paraId="28510521" w14:textId="2A5BE4EB" w:rsidR="006B1ACE" w:rsidRDefault="006B1ACE" w:rsidP="006B1ACE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B1A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avere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sede legale in Italia</w:t>
            </w:r>
            <w:r w:rsidRPr="006B1A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ed essere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iscritte</w:t>
            </w:r>
            <w:r w:rsidRPr="006B1A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regolarmente presso la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CCIAA</w:t>
            </w:r>
            <w:r w:rsidRPr="006B1ACE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(se non residente nel territorio italiano, deve avere la sede legale e personalità giuridica riconosciuta nello Stato di residenza)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8DA4A79" w14:textId="7537FE9F" w:rsidR="006B1ACE" w:rsidRPr="00D555BD" w:rsidRDefault="006B1ACE" w:rsidP="006B1ACE">
            <w:pPr>
              <w:pStyle w:val="Paragrafoelenco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trovarsi in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regime di contabilità ordinaria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disporre di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almeno un bilancio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di esercizio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 sia stato regolarmente approvato e depositato presso la CCIAA (il soggetto proponente può fare riferimento anche ai bilanci consolidati del gruppo a cui appartiene o ai bilanci di una delle società che ne detiene, alla data di presentazione della domanda, una quota non inferiore al 20% del proprio capitale sociale).</w:t>
            </w:r>
          </w:p>
        </w:tc>
      </w:tr>
      <w:tr w:rsidR="00E84C6A" w:rsidRPr="00D8054D" w14:paraId="077A1911" w14:textId="77777777" w:rsidTr="00C73563">
        <w:trPr>
          <w:trHeight w:val="1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73E57D69" w14:textId="77777777" w:rsidR="00D555BD" w:rsidRDefault="00D555BD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contributi potranno essere concessi per la realizzazione in Italia di progetti di ricerca industriale e/o sviluppo sperimentale. </w:t>
            </w:r>
          </w:p>
          <w:p w14:paraId="6843B524" w14:textId="77777777" w:rsidR="00D555BD" w:rsidRDefault="00D555BD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 progetti devono: </w:t>
            </w:r>
          </w:p>
          <w:p w14:paraId="4DFE13A2" w14:textId="77777777" w:rsidR="00D555BD" w:rsidRDefault="00D555BD" w:rsidP="00D555BD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555B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essere avviati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entro e non oltre 90 giorni</w:t>
            </w:r>
            <w:r w:rsidRPr="00D555B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dalla data della delibera di concessione del contributo da parte della Fondazione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55F8E8CF" w14:textId="1CEAE8E8" w:rsidR="00D555BD" w:rsidRDefault="00D555BD" w:rsidP="00D555BD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555B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avere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durata non superiore a 36 mesi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44034208" w14:textId="77777777" w:rsidR="004E4547" w:rsidRDefault="00D555BD" w:rsidP="00D555BD">
            <w:pPr>
              <w:pStyle w:val="Paragrafoelenco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prevedere</w:t>
            </w:r>
            <w:r w:rsidRPr="00D555B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555B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valore minimo di euro 20 milioni</w:t>
            </w:r>
            <w:r w:rsidRPr="00D555B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F8E79A9" w14:textId="77777777" w:rsidR="00D555BD" w:rsidRDefault="00D555BD" w:rsidP="00D55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17CF4307" w14:textId="77777777" w:rsidR="00D555BD" w:rsidRDefault="00D555BD" w:rsidP="00D55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Il progetto di ricerca e sviluppo deve essere compreso in uno o più delle seguenti linee di ricerca:</w:t>
            </w:r>
          </w:p>
          <w:p w14:paraId="06C465D3" w14:textId="77777777" w:rsidR="00D555BD" w:rsidRDefault="00D555BD" w:rsidP="00D555BD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76D7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ricerca industriale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316032ED" w14:textId="77777777" w:rsidR="00D555BD" w:rsidRDefault="00D555BD" w:rsidP="00D555BD">
            <w:pPr>
              <w:pStyle w:val="Paragrafoelenco"/>
              <w:numPr>
                <w:ilvl w:val="0"/>
                <w:numId w:val="4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76D7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sviluppo sperimentale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A27C6D2" w14:textId="77777777" w:rsidR="00376D7B" w:rsidRDefault="00376D7B" w:rsidP="00376D7B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4BCEBBC4" w14:textId="62FBAFE8" w:rsidR="00D555BD" w:rsidRDefault="00376D7B" w:rsidP="00D555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ammissibili i seguenti costi</w:t>
            </w:r>
            <w:r w:rsidR="00D555BD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per i progetti di ricerca e sviluppo:</w:t>
            </w:r>
          </w:p>
          <w:p w14:paraId="4C7F4C15" w14:textId="3BA6A75B" w:rsidR="00376D7B" w:rsidRPr="00376D7B" w:rsidRDefault="00376D7B" w:rsidP="00376D7B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76D7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di personale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ossia personale dipendente, ricercatori, collaboratori, somministrati, tecnici e altro personale ausiliario, anche distaccato da una o più società del gruppo di appartenenza, purché a tempo pieno e per la durata della sua prestazione nel progetto e, comunque, entro i limiti di un importo pari al 45% delle spese ammissibili;</w:t>
            </w:r>
          </w:p>
          <w:p w14:paraId="1A45110C" w14:textId="00D984C7" w:rsidR="00D555BD" w:rsidRDefault="00376D7B" w:rsidP="00376D7B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76D7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costi relativi a strumentazione e attrezzature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nella misura e per il periodo in cui sono utilizzati per il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progetto; se gli strumenti e le attrezzature non sono utilizzati per tutto il loro ciclo di vita per il progetto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considerati ammissibili unicamente i costi di ammortamento corrispondenti alla durata del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progetto, calcolati secondo principi contabili generalmente accettati e, comunque, entro il limite del 10% delle spese ammissibili;</w:t>
            </w:r>
          </w:p>
          <w:p w14:paraId="109CBD52" w14:textId="526F7496" w:rsidR="00376D7B" w:rsidRDefault="00376D7B" w:rsidP="00376D7B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76D7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ricerca contrattuale, conoscenze e brevetti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acquisiti o ottenuti in licenza da fonti esterne alle normali condizioni di mercato, nonché i costi per i servizi di consulenza e gli altri servizi equivalenti utilizzati esclusivamente per l’attività del progetto entro i limiti di un importo pari al 35% delle spese ammissibili;</w:t>
            </w:r>
          </w:p>
          <w:p w14:paraId="597803F3" w14:textId="6FC5D318" w:rsidR="00376D7B" w:rsidRDefault="00376D7B" w:rsidP="00376D7B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376D7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spese generali supplementari e altri costi di servizio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, compresi i costi dei materiali, delle forniture e di prodotti analoghi, direttamente imputabili al </w:t>
            </w:r>
            <w:r w:rsidRPr="00376D7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lastRenderedPageBreak/>
              <w:t>progetto calcolate con riferimento ai bilanci di esercizio del periodo di svolgimento del progetto stesso e, in ogni caso, in misura non superiore al 10% delle spese ammissibili.</w:t>
            </w:r>
          </w:p>
          <w:p w14:paraId="150EDC0D" w14:textId="77777777" w:rsidR="00376D7B" w:rsidRDefault="00376D7B" w:rsidP="00376D7B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288B6A4F" w14:textId="41E80092" w:rsidR="00376D7B" w:rsidRPr="00376D7B" w:rsidRDefault="00376D7B" w:rsidP="00376D7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È riconosciuta una variabilità tra le voci non superiore al 10% del valore del progetto. </w:t>
            </w:r>
          </w:p>
        </w:tc>
      </w:tr>
      <w:tr w:rsidR="00E84C6A" w:rsidRPr="00D8054D" w14:paraId="75413368" w14:textId="77777777" w:rsidTr="00376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44BC0E6" w14:textId="77777777" w:rsidR="004E4547" w:rsidRDefault="00376D7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è concessa nella forma di </w:t>
            </w:r>
            <w:r w:rsidRPr="00376D7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0DBA477" w14:textId="72814389" w:rsidR="00376D7B" w:rsidRPr="00707C78" w:rsidRDefault="00376D7B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Non è prevista cumulabilità con le altre agevolazioni pubbliche, incluse quelle concesse a titolo de </w:t>
            </w:r>
            <w:proofErr w:type="spellStart"/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minimis</w:t>
            </w:r>
            <w:proofErr w:type="spellEnd"/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572EE41E" w14:textId="77777777" w:rsidTr="00722C9F">
        <w:trPr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2F331EBC" w14:textId="09213C46" w:rsidR="00376D7B" w:rsidRPr="00444696" w:rsidRDefault="00376D7B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potranno essere inviate dal </w:t>
            </w:r>
            <w:r w:rsidR="00722C9F" w:rsidRPr="00722C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1° ottobre </w:t>
            </w:r>
            <w:r w:rsidRPr="00722C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2024 e fino alle ore 13:00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C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del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722C9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29 novembre 2024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mediante l’indirizzo </w:t>
            </w:r>
            <w:proofErr w:type="spellStart"/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pec</w:t>
            </w:r>
            <w:proofErr w:type="spellEnd"/>
            <w:r w:rsidR="00722C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10" w:history="1">
              <w:r w:rsidR="00722C9F" w:rsidRPr="005C4540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avvisoricercaFEB@pec.it</w:t>
              </w:r>
            </w:hyperlink>
            <w:r w:rsidR="00722C9F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1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3CBC9623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0A75B" w14:textId="77777777" w:rsidR="004D27C4" w:rsidRDefault="004D27C4" w:rsidP="008B7C0B">
      <w:r>
        <w:separator/>
      </w:r>
    </w:p>
  </w:endnote>
  <w:endnote w:type="continuationSeparator" w:id="0">
    <w:p w14:paraId="17B0F0CC" w14:textId="77777777" w:rsidR="004D27C4" w:rsidRDefault="004D27C4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834C5" w14:textId="77777777" w:rsidR="004D27C4" w:rsidRDefault="004D27C4" w:rsidP="008B7C0B">
      <w:r>
        <w:separator/>
      </w:r>
    </w:p>
  </w:footnote>
  <w:footnote w:type="continuationSeparator" w:id="0">
    <w:p w14:paraId="55D501D1" w14:textId="77777777" w:rsidR="004D27C4" w:rsidRDefault="004D27C4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E43F2"/>
    <w:multiLevelType w:val="hybridMultilevel"/>
    <w:tmpl w:val="A1F83A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405B6C"/>
    <w:multiLevelType w:val="hybridMultilevel"/>
    <w:tmpl w:val="FD72969C"/>
    <w:lvl w:ilvl="0" w:tplc="DD18746E">
      <w:start w:val="4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AE6DDF"/>
    <w:multiLevelType w:val="hybridMultilevel"/>
    <w:tmpl w:val="BE1E1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1"/>
  </w:num>
  <w:num w:numId="2" w16cid:durableId="1578250980">
    <w:abstractNumId w:val="26"/>
  </w:num>
  <w:num w:numId="3" w16cid:durableId="717972033">
    <w:abstractNumId w:val="14"/>
  </w:num>
  <w:num w:numId="4" w16cid:durableId="532420177">
    <w:abstractNumId w:val="17"/>
  </w:num>
  <w:num w:numId="5" w16cid:durableId="2045672302">
    <w:abstractNumId w:val="12"/>
  </w:num>
  <w:num w:numId="6" w16cid:durableId="458184831">
    <w:abstractNumId w:val="25"/>
  </w:num>
  <w:num w:numId="7" w16cid:durableId="1587156178">
    <w:abstractNumId w:val="34"/>
  </w:num>
  <w:num w:numId="8" w16cid:durableId="524564467">
    <w:abstractNumId w:val="8"/>
  </w:num>
  <w:num w:numId="9" w16cid:durableId="1954749045">
    <w:abstractNumId w:val="5"/>
  </w:num>
  <w:num w:numId="10" w16cid:durableId="438110789">
    <w:abstractNumId w:val="44"/>
  </w:num>
  <w:num w:numId="11" w16cid:durableId="1357803773">
    <w:abstractNumId w:val="40"/>
  </w:num>
  <w:num w:numId="12" w16cid:durableId="484393784">
    <w:abstractNumId w:val="43"/>
  </w:num>
  <w:num w:numId="13" w16cid:durableId="850606727">
    <w:abstractNumId w:val="39"/>
  </w:num>
  <w:num w:numId="14" w16cid:durableId="549656214">
    <w:abstractNumId w:val="6"/>
  </w:num>
  <w:num w:numId="15" w16cid:durableId="1854303287">
    <w:abstractNumId w:val="35"/>
  </w:num>
  <w:num w:numId="16" w16cid:durableId="396443553">
    <w:abstractNumId w:val="19"/>
  </w:num>
  <w:num w:numId="17" w16cid:durableId="927889903">
    <w:abstractNumId w:val="0"/>
  </w:num>
  <w:num w:numId="18" w16cid:durableId="1489514041">
    <w:abstractNumId w:val="28"/>
  </w:num>
  <w:num w:numId="19" w16cid:durableId="90660573">
    <w:abstractNumId w:val="2"/>
  </w:num>
  <w:num w:numId="20" w16cid:durableId="2000385477">
    <w:abstractNumId w:val="29"/>
  </w:num>
  <w:num w:numId="21" w16cid:durableId="1529247834">
    <w:abstractNumId w:val="23"/>
  </w:num>
  <w:num w:numId="22" w16cid:durableId="1433016128">
    <w:abstractNumId w:val="37"/>
  </w:num>
  <w:num w:numId="23" w16cid:durableId="666711373">
    <w:abstractNumId w:val="30"/>
  </w:num>
  <w:num w:numId="24" w16cid:durableId="1880124839">
    <w:abstractNumId w:val="18"/>
  </w:num>
  <w:num w:numId="25" w16cid:durableId="1092044293">
    <w:abstractNumId w:val="36"/>
  </w:num>
  <w:num w:numId="26" w16cid:durableId="2018994266">
    <w:abstractNumId w:val="3"/>
  </w:num>
  <w:num w:numId="27" w16cid:durableId="1933464916">
    <w:abstractNumId w:val="41"/>
  </w:num>
  <w:num w:numId="28" w16cid:durableId="2044554697">
    <w:abstractNumId w:val="9"/>
  </w:num>
  <w:num w:numId="29" w16cid:durableId="1921451260">
    <w:abstractNumId w:val="4"/>
  </w:num>
  <w:num w:numId="30" w16cid:durableId="451630862">
    <w:abstractNumId w:val="11"/>
  </w:num>
  <w:num w:numId="31" w16cid:durableId="1824083479">
    <w:abstractNumId w:val="7"/>
  </w:num>
  <w:num w:numId="32" w16cid:durableId="1565213087">
    <w:abstractNumId w:val="24"/>
  </w:num>
  <w:num w:numId="33" w16cid:durableId="1507984646">
    <w:abstractNumId w:val="42"/>
  </w:num>
  <w:num w:numId="34" w16cid:durableId="1725564744">
    <w:abstractNumId w:val="27"/>
  </w:num>
  <w:num w:numId="35" w16cid:durableId="2116289261">
    <w:abstractNumId w:val="33"/>
  </w:num>
  <w:num w:numId="36" w16cid:durableId="127095275">
    <w:abstractNumId w:val="15"/>
  </w:num>
  <w:num w:numId="37" w16cid:durableId="2105835486">
    <w:abstractNumId w:val="10"/>
  </w:num>
  <w:num w:numId="38" w16cid:durableId="2105102396">
    <w:abstractNumId w:val="32"/>
  </w:num>
  <w:num w:numId="39" w16cid:durableId="69353132">
    <w:abstractNumId w:val="13"/>
  </w:num>
  <w:num w:numId="40" w16cid:durableId="463429389">
    <w:abstractNumId w:val="21"/>
  </w:num>
  <w:num w:numId="41" w16cid:durableId="1561935987">
    <w:abstractNumId w:val="20"/>
  </w:num>
  <w:num w:numId="42" w16cid:durableId="225184952">
    <w:abstractNumId w:val="16"/>
  </w:num>
  <w:num w:numId="43" w16cid:durableId="548035619">
    <w:abstractNumId w:val="31"/>
  </w:num>
  <w:num w:numId="44" w16cid:durableId="492188323">
    <w:abstractNumId w:val="22"/>
  </w:num>
  <w:num w:numId="45" w16cid:durableId="115155571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1109C7"/>
    <w:rsid w:val="0014722C"/>
    <w:rsid w:val="00157460"/>
    <w:rsid w:val="00171A4E"/>
    <w:rsid w:val="001725D3"/>
    <w:rsid w:val="00175D10"/>
    <w:rsid w:val="00194075"/>
    <w:rsid w:val="001B2BD8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744A3"/>
    <w:rsid w:val="00291249"/>
    <w:rsid w:val="00291EAF"/>
    <w:rsid w:val="002930A9"/>
    <w:rsid w:val="002B4653"/>
    <w:rsid w:val="002C094E"/>
    <w:rsid w:val="002C2528"/>
    <w:rsid w:val="002C6E84"/>
    <w:rsid w:val="0031747F"/>
    <w:rsid w:val="00320EC0"/>
    <w:rsid w:val="0035398D"/>
    <w:rsid w:val="003663EE"/>
    <w:rsid w:val="00366A41"/>
    <w:rsid w:val="00376D7B"/>
    <w:rsid w:val="003879DA"/>
    <w:rsid w:val="003A0A8D"/>
    <w:rsid w:val="003B5098"/>
    <w:rsid w:val="003C4F14"/>
    <w:rsid w:val="003D4974"/>
    <w:rsid w:val="003E1D3F"/>
    <w:rsid w:val="003F38D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D27C4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505B"/>
    <w:rsid w:val="00622A3B"/>
    <w:rsid w:val="00641C62"/>
    <w:rsid w:val="00645928"/>
    <w:rsid w:val="00670643"/>
    <w:rsid w:val="00674DCD"/>
    <w:rsid w:val="00681921"/>
    <w:rsid w:val="0068282C"/>
    <w:rsid w:val="00697773"/>
    <w:rsid w:val="006A350F"/>
    <w:rsid w:val="006B1ACE"/>
    <w:rsid w:val="006F133B"/>
    <w:rsid w:val="006F7044"/>
    <w:rsid w:val="00707C78"/>
    <w:rsid w:val="00721ABE"/>
    <w:rsid w:val="00722C9F"/>
    <w:rsid w:val="00723C02"/>
    <w:rsid w:val="00724A8E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42F65"/>
    <w:rsid w:val="0085014F"/>
    <w:rsid w:val="00850847"/>
    <w:rsid w:val="00857E15"/>
    <w:rsid w:val="00877C55"/>
    <w:rsid w:val="008A54F1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A10FD7"/>
    <w:rsid w:val="00A364E4"/>
    <w:rsid w:val="00A45193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77E42"/>
    <w:rsid w:val="00B844AA"/>
    <w:rsid w:val="00B91504"/>
    <w:rsid w:val="00B97192"/>
    <w:rsid w:val="00BB1269"/>
    <w:rsid w:val="00BC0F96"/>
    <w:rsid w:val="00BF338C"/>
    <w:rsid w:val="00BF6C9A"/>
    <w:rsid w:val="00C23E8D"/>
    <w:rsid w:val="00C66819"/>
    <w:rsid w:val="00C73563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555BD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764B3"/>
    <w:rsid w:val="00E84C6A"/>
    <w:rsid w:val="00EA4EE8"/>
    <w:rsid w:val="00EA5021"/>
    <w:rsid w:val="00EA6A86"/>
    <w:rsid w:val="00ED0484"/>
    <w:rsid w:val="00ED1280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vvisoricercaFEB@pec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5</cp:revision>
  <cp:lastPrinted>2023-07-12T08:55:00Z</cp:lastPrinted>
  <dcterms:created xsi:type="dcterms:W3CDTF">2024-09-16T15:44:00Z</dcterms:created>
  <dcterms:modified xsi:type="dcterms:W3CDTF">2024-11-05T11:58:00Z</dcterms:modified>
</cp:coreProperties>
</file>