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30461347">
                <wp:simplePos x="0" y="0"/>
                <wp:positionH relativeFrom="margin">
                  <wp:posOffset>-440690</wp:posOffset>
                </wp:positionH>
                <wp:positionV relativeFrom="paragraph">
                  <wp:posOffset>5052272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234770C7" w:rsidR="00B91504" w:rsidRPr="00BF338C" w:rsidRDefault="00A61B04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61B0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Invitalia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45CEB" w:rsidRPr="00645CEB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Disposizioni organiche per la valorizzazione, la promozione e la tutela del made in 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4.7pt;margin-top:397.8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EtXPyXhAAAADAEAAA8AAAAAAAAA&#10;AAAAAAAAVAQAAGRycy9kb3ducmV2LnhtbFBLBQYAAAAABAAEAPMAAABiBQAAAAA=&#10;" filled="f" stroked="f">
                <v:textbox style="mso-fit-shape-to-text:t">
                  <w:txbxContent>
                    <w:p w14:paraId="6A7B159E" w14:textId="234770C7" w:rsidR="00B91504" w:rsidRPr="00BF338C" w:rsidRDefault="00A61B04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 w:rsidRPr="00A61B0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Invitalia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645CEB" w:rsidRPr="00645CEB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Disposizioni organiche per la valorizzazione, la promozione e la tutela del made in Italy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193E9615" w:rsidR="00E84C6A" w:rsidRPr="00645CEB" w:rsidRDefault="00645CEB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</w:t>
            </w:r>
            <w:r w:rsidRPr="00645CEB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ostenere gli investimenti nel settore tessile, della moda e degli accessori, focalizzati sulla transizione ecologica e digitale delle imprese italiane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12E9B2DD" w:rsidR="00E84C6A" w:rsidRPr="0020776D" w:rsidRDefault="00A61B04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61B04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Invitalia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4064EC01" w:rsidR="00E84C6A" w:rsidRPr="005314A6" w:rsidRDefault="00645CEB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45C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In fase di defi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ni</w:t>
            </w:r>
            <w:r w:rsidRPr="00645CEB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A57FF3">
        <w:trPr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6DC0B347" w14:textId="77777777" w:rsidR="00A57FF3" w:rsidRDefault="00A57FF3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15 milioni di euro. </w:t>
            </w:r>
          </w:p>
          <w:p w14:paraId="268397F3" w14:textId="23E6F138" w:rsidR="00E84C6A" w:rsidRPr="00A57FF3" w:rsidRDefault="00A57FF3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A57FF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5.000.000,00 (cinque milioni/00) per l’anno 2023 e a euro 10.000.000,00 (dieci milioni/00) per l’anno 2024.</w:t>
            </w:r>
          </w:p>
        </w:tc>
      </w:tr>
      <w:tr w:rsidR="00E84C6A" w:rsidRPr="00D8054D" w14:paraId="5967BFAC" w14:textId="77777777" w:rsidTr="00D97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781C0ABF" w14:textId="04C1E554" w:rsidR="00B1060A" w:rsidRDefault="009742A0" w:rsidP="009742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misura agevolative è riservata alle </w:t>
            </w:r>
            <w:r w:rsid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che:</w:t>
            </w:r>
          </w:p>
          <w:p w14:paraId="0CE05AD0" w14:textId="77777777" w:rsidR="009742A0" w:rsidRDefault="009742A0" w:rsidP="009742A0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9742A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operano nel settore del tessile, della moda e degli accessori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6E1F0B09" w14:textId="77777777" w:rsidR="009742A0" w:rsidRDefault="009742A0" w:rsidP="009742A0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9742A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sono regolarmente costituite, iscritte al Registro delle imprese della Camera di commercio territorialmente competente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8DA4A79" w14:textId="25801E01" w:rsidR="00922491" w:rsidRPr="00D97955" w:rsidRDefault="009742A0" w:rsidP="00D97955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742A0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sono in contabilità ordinaria e hanno approvato </w:t>
            </w:r>
            <w:r w:rsidRPr="00D979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almeno due bilanci di esercizio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3E8E01A8" w14:textId="77777777" w:rsidR="004E4547" w:rsidRDefault="00EC7972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Possono accedere alle agevolazioni le imprese che intendono intraprendere percorsi di 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sviluppo volti a favorire la </w:t>
            </w:r>
            <w:r w:rsidRPr="00D979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transizione ecologica e digitale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 processo produttivo o dei prodotti o servizi offerti.</w:t>
            </w:r>
          </w:p>
          <w:p w14:paraId="50888EE6" w14:textId="77777777" w:rsidR="00EC7972" w:rsidRDefault="00EC7972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524DA27D" w14:textId="77777777" w:rsidR="00EC7972" w:rsidRDefault="00EC7972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e agevolazioni sono concesse a fronte </w:t>
            </w:r>
            <w:r w:rsidRPr="00D979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dell’acquisizione di prestazioni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specialistiche aventi ad oggetto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  <w:p w14:paraId="7189C05C" w14:textId="77777777" w:rsidR="00EC7972" w:rsidRDefault="00EC7972" w:rsidP="00EC7972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</w:t>
            </w:r>
            <w:r w:rsidRPr="00EC797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attività di formazione del personale dipendente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dell’impresa richiedente volta all’acquisizione o al consolidamento di competenze rilevanti ai fini del percorso di sviluppo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75D13C44" w14:textId="7F20966D" w:rsidR="00EC7972" w:rsidRPr="00D97955" w:rsidRDefault="00EC7972" w:rsidP="00F605EA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D979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l’implementazione di una o più delle seguenti tecnologie</w:t>
            </w:r>
            <w:r w:rsidRP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97955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abilitanti</w:t>
            </w:r>
            <w:r w:rsidRP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finalizzate a favorire lo sviluppo dei processi aziendali o di prodotti innovativi</w:t>
            </w:r>
            <w:r w:rsidR="00D97955" w:rsidRP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: </w:t>
            </w:r>
            <w:r w:rsidR="00D97955" w:rsidRP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cloud computing; big data e analytics; intelligenza artificiale; blockchain; robotica avanzata e collaborativa; manifattura additiva e stampa 3D; IoT (Internet of Things); realtà aumentata; soluzioni di manifattura avanzata (advanced manufacturing solutions); piattaforme digitali per condivisione di competenze; sistemi di tracciabilità digitale della filiera produttiva</w:t>
            </w:r>
            <w:r w:rsidR="00D97955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629ECBA" w14:textId="77777777" w:rsidR="00EC7972" w:rsidRDefault="00EC7972" w:rsidP="00EC7972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il </w:t>
            </w:r>
            <w:r w:rsidRPr="00EC797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supporto all’ottenimento di certificazioni in materia ambientale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quali:</w:t>
            </w:r>
          </w:p>
          <w:p w14:paraId="16DBED2A" w14:textId="77777777" w:rsidR="00EC7972" w:rsidRDefault="00EC7972" w:rsidP="00EC7972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-</w:t>
            </w:r>
            <w:r w:rsidRPr="00EC7972">
              <w:t xml:space="preserve"> 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certificazioni di prodotto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18512164" w14:textId="77777777" w:rsidR="00EC7972" w:rsidRDefault="00EC7972" w:rsidP="00EC7972">
            <w:pPr>
              <w:pStyle w:val="Paragrafoelenc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-</w:t>
            </w:r>
            <w:r w:rsidRPr="00EC7972">
              <w:t xml:space="preserve"> </w:t>
            </w:r>
            <w:r w:rsidRPr="00EC7972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certificazioni di processo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</w:t>
            </w:r>
          </w:p>
          <w:p w14:paraId="288B6A4F" w14:textId="5EC12EFD" w:rsidR="00EC7972" w:rsidRPr="00EC7972" w:rsidRDefault="00EC7972" w:rsidP="00EC7972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EC7972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servizi di analisi di Life Cycle Assessment (LCA)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75413368" w14:textId="77777777" w:rsidTr="00D97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30DBA477" w14:textId="591F7EB9" w:rsidR="004E4547" w:rsidRPr="00707C78" w:rsidRDefault="007762E3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7762E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L’agevolazione è concessa sotto forma di </w:t>
            </w:r>
            <w:r w:rsidRPr="007762E3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contributo a fondo perduto</w:t>
            </w:r>
            <w:r w:rsidRPr="007762E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nella misura massima del 50% (cinquanta percento) delle spese ammissibili, e nel limite massimo di euro 60.000,00 (sessantamila/00)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2F331EBC" w14:textId="22AB33FD" w:rsidR="004E4547" w:rsidRPr="00444696" w:rsidRDefault="007762E3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Le domande di agevolazione devono essere trasmesse necessariamente </w:t>
            </w:r>
            <w:r w:rsidRPr="007762E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per via elettronica utilizzando la piattaforma informatica messa a disposizione dal Soggetto gestore nell’apposita sezione del sito internet www.invitalia.it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0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284D5441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82A6F" w14:textId="77777777" w:rsidR="00EB4307" w:rsidRDefault="00EB4307" w:rsidP="008B7C0B">
      <w:r>
        <w:separator/>
      </w:r>
    </w:p>
  </w:endnote>
  <w:endnote w:type="continuationSeparator" w:id="0">
    <w:p w14:paraId="1D8538D9" w14:textId="77777777" w:rsidR="00EB4307" w:rsidRDefault="00EB4307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5A85" w14:textId="77777777" w:rsidR="00EB4307" w:rsidRDefault="00EB4307" w:rsidP="008B7C0B">
      <w:r>
        <w:separator/>
      </w:r>
    </w:p>
  </w:footnote>
  <w:footnote w:type="continuationSeparator" w:id="0">
    <w:p w14:paraId="617817BE" w14:textId="77777777" w:rsidR="00EB4307" w:rsidRDefault="00EB4307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9F3645"/>
    <w:multiLevelType w:val="hybridMultilevel"/>
    <w:tmpl w:val="E5686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524F4"/>
    <w:multiLevelType w:val="hybridMultilevel"/>
    <w:tmpl w:val="C9C07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22695"/>
    <w:multiLevelType w:val="hybridMultilevel"/>
    <w:tmpl w:val="A156F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6"/>
  </w:num>
  <w:num w:numId="3" w16cid:durableId="717972033">
    <w:abstractNumId w:val="15"/>
  </w:num>
  <w:num w:numId="4" w16cid:durableId="532420177">
    <w:abstractNumId w:val="18"/>
  </w:num>
  <w:num w:numId="5" w16cid:durableId="2045672302">
    <w:abstractNumId w:val="13"/>
  </w:num>
  <w:num w:numId="6" w16cid:durableId="458184831">
    <w:abstractNumId w:val="25"/>
  </w:num>
  <w:num w:numId="7" w16cid:durableId="1587156178">
    <w:abstractNumId w:val="35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6"/>
  </w:num>
  <w:num w:numId="16" w16cid:durableId="396443553">
    <w:abstractNumId w:val="20"/>
  </w:num>
  <w:num w:numId="17" w16cid:durableId="927889903">
    <w:abstractNumId w:val="0"/>
  </w:num>
  <w:num w:numId="18" w16cid:durableId="1489514041">
    <w:abstractNumId w:val="28"/>
  </w:num>
  <w:num w:numId="19" w16cid:durableId="90660573">
    <w:abstractNumId w:val="2"/>
  </w:num>
  <w:num w:numId="20" w16cid:durableId="2000385477">
    <w:abstractNumId w:val="29"/>
  </w:num>
  <w:num w:numId="21" w16cid:durableId="1529247834">
    <w:abstractNumId w:val="23"/>
  </w:num>
  <w:num w:numId="22" w16cid:durableId="1433016128">
    <w:abstractNumId w:val="38"/>
  </w:num>
  <w:num w:numId="23" w16cid:durableId="666711373">
    <w:abstractNumId w:val="31"/>
  </w:num>
  <w:num w:numId="24" w16cid:durableId="1880124839">
    <w:abstractNumId w:val="19"/>
  </w:num>
  <w:num w:numId="25" w16cid:durableId="1092044293">
    <w:abstractNumId w:val="37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1"/>
  </w:num>
  <w:num w:numId="31" w16cid:durableId="1824083479">
    <w:abstractNumId w:val="7"/>
  </w:num>
  <w:num w:numId="32" w16cid:durableId="1565213087">
    <w:abstractNumId w:val="24"/>
  </w:num>
  <w:num w:numId="33" w16cid:durableId="1507984646">
    <w:abstractNumId w:val="42"/>
  </w:num>
  <w:num w:numId="34" w16cid:durableId="1725564744">
    <w:abstractNumId w:val="27"/>
  </w:num>
  <w:num w:numId="35" w16cid:durableId="2116289261">
    <w:abstractNumId w:val="34"/>
  </w:num>
  <w:num w:numId="36" w16cid:durableId="127095275">
    <w:abstractNumId w:val="16"/>
  </w:num>
  <w:num w:numId="37" w16cid:durableId="2105835486">
    <w:abstractNumId w:val="10"/>
  </w:num>
  <w:num w:numId="38" w16cid:durableId="2105102396">
    <w:abstractNumId w:val="33"/>
  </w:num>
  <w:num w:numId="39" w16cid:durableId="69353132">
    <w:abstractNumId w:val="14"/>
  </w:num>
  <w:num w:numId="40" w16cid:durableId="463429389">
    <w:abstractNumId w:val="22"/>
  </w:num>
  <w:num w:numId="41" w16cid:durableId="1561935987">
    <w:abstractNumId w:val="21"/>
  </w:num>
  <w:num w:numId="42" w16cid:durableId="225184952">
    <w:abstractNumId w:val="17"/>
  </w:num>
  <w:num w:numId="43" w16cid:durableId="274362344">
    <w:abstractNumId w:val="32"/>
  </w:num>
  <w:num w:numId="44" w16cid:durableId="995837001">
    <w:abstractNumId w:val="30"/>
  </w:num>
  <w:num w:numId="45" w16cid:durableId="2023779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1109C7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72814"/>
    <w:rsid w:val="00291249"/>
    <w:rsid w:val="00291EAF"/>
    <w:rsid w:val="002930A9"/>
    <w:rsid w:val="002B4653"/>
    <w:rsid w:val="002B7F12"/>
    <w:rsid w:val="002C2528"/>
    <w:rsid w:val="002C5B08"/>
    <w:rsid w:val="002C6E84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44696"/>
    <w:rsid w:val="00474A8F"/>
    <w:rsid w:val="00487E5F"/>
    <w:rsid w:val="00490D2E"/>
    <w:rsid w:val="00491D50"/>
    <w:rsid w:val="004B55F3"/>
    <w:rsid w:val="004B5C85"/>
    <w:rsid w:val="004B5DFE"/>
    <w:rsid w:val="004C79A0"/>
    <w:rsid w:val="004D1E2A"/>
    <w:rsid w:val="004E4547"/>
    <w:rsid w:val="005261A9"/>
    <w:rsid w:val="005314A6"/>
    <w:rsid w:val="00543916"/>
    <w:rsid w:val="0054697E"/>
    <w:rsid w:val="00587C62"/>
    <w:rsid w:val="00591F46"/>
    <w:rsid w:val="005A247C"/>
    <w:rsid w:val="005C3EC9"/>
    <w:rsid w:val="005E649A"/>
    <w:rsid w:val="005E7547"/>
    <w:rsid w:val="00600254"/>
    <w:rsid w:val="0061505B"/>
    <w:rsid w:val="00622A3B"/>
    <w:rsid w:val="00622A6B"/>
    <w:rsid w:val="00623585"/>
    <w:rsid w:val="00635C51"/>
    <w:rsid w:val="00641C62"/>
    <w:rsid w:val="00645928"/>
    <w:rsid w:val="00645CEB"/>
    <w:rsid w:val="00670643"/>
    <w:rsid w:val="00674DCD"/>
    <w:rsid w:val="00681921"/>
    <w:rsid w:val="0068282C"/>
    <w:rsid w:val="00697773"/>
    <w:rsid w:val="006A350F"/>
    <w:rsid w:val="006D4BAF"/>
    <w:rsid w:val="006F133B"/>
    <w:rsid w:val="006F7044"/>
    <w:rsid w:val="00707C78"/>
    <w:rsid w:val="00721ABE"/>
    <w:rsid w:val="00723C02"/>
    <w:rsid w:val="00724A8E"/>
    <w:rsid w:val="007476F0"/>
    <w:rsid w:val="007762E3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2491"/>
    <w:rsid w:val="009267EC"/>
    <w:rsid w:val="00932F14"/>
    <w:rsid w:val="00945EFD"/>
    <w:rsid w:val="009567FA"/>
    <w:rsid w:val="009742A0"/>
    <w:rsid w:val="009B0A16"/>
    <w:rsid w:val="009B6C79"/>
    <w:rsid w:val="009C38B4"/>
    <w:rsid w:val="009E6133"/>
    <w:rsid w:val="009F3608"/>
    <w:rsid w:val="00A10FD7"/>
    <w:rsid w:val="00A364E4"/>
    <w:rsid w:val="00A45193"/>
    <w:rsid w:val="00A57FF3"/>
    <w:rsid w:val="00A61B04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77E42"/>
    <w:rsid w:val="00B844AA"/>
    <w:rsid w:val="00B91504"/>
    <w:rsid w:val="00B97192"/>
    <w:rsid w:val="00BC0F96"/>
    <w:rsid w:val="00BF1550"/>
    <w:rsid w:val="00BF338C"/>
    <w:rsid w:val="00BF6C9A"/>
    <w:rsid w:val="00C23E8D"/>
    <w:rsid w:val="00C66819"/>
    <w:rsid w:val="00C749F2"/>
    <w:rsid w:val="00C82708"/>
    <w:rsid w:val="00C9359B"/>
    <w:rsid w:val="00CA003A"/>
    <w:rsid w:val="00CB202A"/>
    <w:rsid w:val="00CB2498"/>
    <w:rsid w:val="00CD5858"/>
    <w:rsid w:val="00D05D8A"/>
    <w:rsid w:val="00D3630F"/>
    <w:rsid w:val="00D52561"/>
    <w:rsid w:val="00D73F87"/>
    <w:rsid w:val="00D8054D"/>
    <w:rsid w:val="00D8422F"/>
    <w:rsid w:val="00D97955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84C6A"/>
    <w:rsid w:val="00E9617D"/>
    <w:rsid w:val="00EA4EE8"/>
    <w:rsid w:val="00EA5021"/>
    <w:rsid w:val="00EA6A86"/>
    <w:rsid w:val="00EB4307"/>
    <w:rsid w:val="00EC119B"/>
    <w:rsid w:val="00EC7972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9</cp:revision>
  <cp:lastPrinted>2023-07-12T08:55:00Z</cp:lastPrinted>
  <dcterms:created xsi:type="dcterms:W3CDTF">2024-09-16T15:44:00Z</dcterms:created>
  <dcterms:modified xsi:type="dcterms:W3CDTF">2024-09-20T07:09:00Z</dcterms:modified>
</cp:coreProperties>
</file>